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B7" w:rsidRDefault="00B16CFA" w:rsidP="002C1180">
      <w:pPr>
        <w:pStyle w:val="Nadpis1"/>
      </w:pPr>
      <w:r w:rsidRPr="00430F4D">
        <w:rPr>
          <w:rFonts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7037070" cy="990600"/>
            <wp:effectExtent l="19050" t="0" r="0" b="0"/>
            <wp:wrapNone/>
            <wp:docPr id="3" name="Obrázek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rcRect l="-5405" t="-35492" r="-179656" b="-81634"/>
                    <a:stretch>
                      <a:fillRect/>
                    </a:stretch>
                  </pic:blipFill>
                  <pic:spPr>
                    <a:xfrm>
                      <a:off x="0" y="0"/>
                      <a:ext cx="7037070" cy="990600"/>
                    </a:xfrm>
                    <a:prstGeom prst="roundRect">
                      <a:avLst>
                        <a:gd name="adj" fmla="val 8594"/>
                      </a:avLst>
                    </a:prstGeom>
                    <a:gradFill flip="none" rotWithShape="1">
                      <a:gsLst>
                        <a:gs pos="33000">
                          <a:schemeClr val="tx2">
                            <a:lumMod val="60000"/>
                            <a:lumOff val="40000"/>
                            <a:alpha val="37000"/>
                          </a:schemeClr>
                        </a:gs>
                        <a:gs pos="71000">
                          <a:schemeClr val="bg1">
                            <a:alpha val="70000"/>
                          </a:schemeClr>
                        </a:gs>
                      </a:gsLst>
                      <a:lin ang="4500000" scaled="0"/>
                      <a:tileRect/>
                    </a:gradFill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1690F">
        <w:t>Automatické pisoáry</w:t>
      </w:r>
    </w:p>
    <w:p w:rsidR="004073B7" w:rsidRDefault="002F05FB" w:rsidP="002C1180">
      <w:pPr>
        <w:pStyle w:val="Nadpis2"/>
      </w:pPr>
      <w:r>
        <w:t>GW 121Z; GW 122Z; GW 123Z</w:t>
      </w:r>
    </w:p>
    <w:p w:rsidR="00E1690F" w:rsidRPr="00E1690F" w:rsidRDefault="00E1690F" w:rsidP="00E1690F">
      <w:pPr>
        <w:pStyle w:val="Nadpis2"/>
        <w:spacing w:before="0"/>
      </w:pPr>
      <w:r>
        <w:tab/>
      </w:r>
      <w:r>
        <w:tab/>
      </w:r>
    </w:p>
    <w:p w:rsidR="00401454" w:rsidRPr="00401454" w:rsidRDefault="00401454" w:rsidP="00401454"/>
    <w:tbl>
      <w:tblPr>
        <w:tblStyle w:val="Mkatabulky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54"/>
      </w:tblGrid>
      <w:tr w:rsidR="00226AA0" w:rsidRPr="00430F4D" w:rsidTr="00C05F07">
        <w:trPr>
          <w:trHeight w:val="420"/>
        </w:trPr>
        <w:tc>
          <w:tcPr>
            <w:tcW w:w="5954" w:type="dxa"/>
            <w:shd w:val="clear" w:color="auto" w:fill="BFBFBF" w:themeFill="background1" w:themeFillShade="BF"/>
            <w:vAlign w:val="center"/>
          </w:tcPr>
          <w:p w:rsidR="00226AA0" w:rsidRPr="002C1180" w:rsidRDefault="00226AA0" w:rsidP="00C05F07">
            <w:pPr>
              <w:pStyle w:val="Nadpis3"/>
              <w:outlineLvl w:val="2"/>
            </w:pPr>
            <w:r w:rsidRPr="002C1180">
              <w:t>Popis</w:t>
            </w:r>
            <w:r w:rsidR="00D13696">
              <w:t>:</w:t>
            </w:r>
          </w:p>
        </w:tc>
      </w:tr>
      <w:tr w:rsidR="00226AA0" w:rsidRPr="00430F4D" w:rsidTr="00C05F07">
        <w:tc>
          <w:tcPr>
            <w:tcW w:w="5954" w:type="dxa"/>
            <w:shd w:val="clear" w:color="auto" w:fill="F2F2F2" w:themeFill="background1" w:themeFillShade="F2"/>
          </w:tcPr>
          <w:p w:rsidR="00226AA0" w:rsidRPr="002C1180" w:rsidRDefault="00D4656D" w:rsidP="00907777">
            <w:pPr>
              <w:spacing w:before="100"/>
            </w:pPr>
            <w:r>
              <w:t xml:space="preserve">Elektronika pisoáru reaguje pouze po použití (snímá a vyhodnocuje změny teploty tekutiny v pisoáru). Čas splachování (množství vody) se jednoduše nastavuje přiloženým magnetem. </w:t>
            </w:r>
            <w:r w:rsidR="00292218">
              <w:t xml:space="preserve"> K pisoáru lze objednat ventil se zvýšenou odolností proti usazování vodního kamene AKM (přípona k označení -M)</w:t>
            </w:r>
            <w:r w:rsidR="001B53F1">
              <w:t xml:space="preserve">. Zdroje </w:t>
            </w:r>
            <w:r w:rsidR="00907777">
              <w:t>jsou dodávány</w:t>
            </w:r>
            <w:r w:rsidR="001B53F1">
              <w:t xml:space="preserve"> jako volitelné příslušenství.</w:t>
            </w:r>
          </w:p>
        </w:tc>
      </w:tr>
    </w:tbl>
    <w:tbl>
      <w:tblPr>
        <w:tblStyle w:val="Mkatabulky"/>
        <w:tblpPr w:leftFromText="142" w:rightFromText="142" w:vertAnchor="text" w:horzAnchor="margin" w:tblpXSpec="right" w:tblpY="1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</w:tblGrid>
      <w:tr w:rsidR="00DE245A" w:rsidTr="000B4DC0">
        <w:trPr>
          <w:trHeight w:val="378"/>
        </w:trPr>
        <w:tc>
          <w:tcPr>
            <w:tcW w:w="4507" w:type="dxa"/>
            <w:vAlign w:val="center"/>
          </w:tcPr>
          <w:p w:rsidR="00DE245A" w:rsidRDefault="00DE245A" w:rsidP="000B4DC0">
            <w:pPr>
              <w:pStyle w:val="Nadpis3"/>
              <w:jc w:val="center"/>
              <w:outlineLvl w:val="2"/>
            </w:pPr>
            <w:r>
              <w:t>Příklady provedení</w:t>
            </w:r>
            <w:r w:rsidR="00F54DCE">
              <w:t xml:space="preserve"> pisoárů</w:t>
            </w:r>
          </w:p>
        </w:tc>
      </w:tr>
      <w:tr w:rsidR="00DE245A" w:rsidTr="000B4DC0">
        <w:trPr>
          <w:trHeight w:val="476"/>
        </w:trPr>
        <w:tc>
          <w:tcPr>
            <w:tcW w:w="4507" w:type="dxa"/>
            <w:vAlign w:val="center"/>
          </w:tcPr>
          <w:p w:rsidR="00DE245A" w:rsidRPr="00DE245A" w:rsidRDefault="00DE245A" w:rsidP="000B4DC0">
            <w:pPr>
              <w:jc w:val="center"/>
              <w:rPr>
                <w:u w:val="single"/>
              </w:rPr>
            </w:pP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>GW 121</w:t>
            </w: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</w:rPr>
              <w:t xml:space="preserve"> - </w:t>
            </w:r>
            <w:r w:rsidRPr="00DE245A">
              <w:rPr>
                <w:rFonts w:eastAsiaTheme="majorEastAsia" w:cstheme="majorBidi"/>
                <w:b/>
                <w:bCs/>
                <w:color w:val="365F91" w:themeColor="accent1" w:themeShade="BF"/>
                <w:sz w:val="36"/>
                <w:szCs w:val="26"/>
                <w:u w:val="single"/>
              </w:rPr>
              <w:t>GOLEM</w:t>
            </w:r>
          </w:p>
        </w:tc>
      </w:tr>
      <w:tr w:rsidR="00DE245A" w:rsidTr="000B4DC0">
        <w:trPr>
          <w:trHeight w:val="3402"/>
        </w:trPr>
        <w:tc>
          <w:tcPr>
            <w:tcW w:w="4507" w:type="dxa"/>
            <w:vAlign w:val="center"/>
          </w:tcPr>
          <w:p w:rsidR="00DE245A" w:rsidRDefault="00DE245A" w:rsidP="000B4DC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044700" cy="2159000"/>
                  <wp:effectExtent l="57150" t="19050" r="31750" b="0"/>
                  <wp:docPr id="27" name="Obrázek 17" descr="go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em.jpg"/>
                          <pic:cNvPicPr/>
                        </pic:nvPicPr>
                        <pic:blipFill>
                          <a:blip r:embed="rId9" cstate="print">
                            <a:lum bright="10000" contrast="10000"/>
                          </a:blip>
                          <a:srcRect l="-7888" r="-7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2159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effectLst>
                            <a:softEdge rad="3175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45A" w:rsidTr="000B4DC0">
        <w:trPr>
          <w:trHeight w:val="476"/>
        </w:trPr>
        <w:tc>
          <w:tcPr>
            <w:tcW w:w="4507" w:type="dxa"/>
            <w:vAlign w:val="center"/>
          </w:tcPr>
          <w:p w:rsidR="00DE245A" w:rsidRPr="00DE245A" w:rsidRDefault="00DE245A" w:rsidP="000B4DC0">
            <w:pPr>
              <w:jc w:val="center"/>
              <w:rPr>
                <w:u w:val="single"/>
              </w:rPr>
            </w:pP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>GW 122</w:t>
            </w: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</w:rPr>
              <w:t xml:space="preserve"> - </w:t>
            </w:r>
            <w:r w:rsidRPr="00DE245A">
              <w:rPr>
                <w:rFonts w:eastAsiaTheme="majorEastAsia" w:cstheme="majorBidi"/>
                <w:b/>
                <w:bCs/>
                <w:color w:val="365F91" w:themeColor="accent1" w:themeShade="BF"/>
                <w:sz w:val="36"/>
                <w:szCs w:val="26"/>
                <w:u w:val="single"/>
              </w:rPr>
              <w:t>APOLLO</w:t>
            </w:r>
          </w:p>
        </w:tc>
      </w:tr>
      <w:tr w:rsidR="00DE245A" w:rsidTr="000B4DC0">
        <w:trPr>
          <w:trHeight w:val="3402"/>
        </w:trPr>
        <w:tc>
          <w:tcPr>
            <w:tcW w:w="4507" w:type="dxa"/>
            <w:vAlign w:val="center"/>
          </w:tcPr>
          <w:p w:rsidR="00DE245A" w:rsidRDefault="00DE245A" w:rsidP="000B4DC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089173" cy="2400300"/>
                  <wp:effectExtent l="57150" t="19050" r="25377" b="0"/>
                  <wp:docPr id="28" name="Obrázek 21" descr="Apo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ollo.jpg"/>
                          <pic:cNvPicPr/>
                        </pic:nvPicPr>
                        <pic:blipFill>
                          <a:blip r:embed="rId10" cstate="print">
                            <a:lum bright="-10000" contrast="10000"/>
                          </a:blip>
                          <a:srcRect l="-8723" t="-5000" b="-6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73" cy="24003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7200000" scaled="0"/>
                            <a:tileRect/>
                          </a:gradFill>
                          <a:effectLst>
                            <a:softEdge rad="31750"/>
                          </a:effectLst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45A" w:rsidTr="000B4DC0">
        <w:trPr>
          <w:trHeight w:val="476"/>
        </w:trPr>
        <w:tc>
          <w:tcPr>
            <w:tcW w:w="4507" w:type="dxa"/>
            <w:vAlign w:val="center"/>
          </w:tcPr>
          <w:p w:rsidR="00DE245A" w:rsidRPr="00DE245A" w:rsidRDefault="00DE245A" w:rsidP="000B4DC0">
            <w:pPr>
              <w:jc w:val="center"/>
              <w:rPr>
                <w:u w:val="single"/>
              </w:rPr>
            </w:pP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>GW 123</w:t>
            </w: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</w:rPr>
              <w:t xml:space="preserve"> -</w:t>
            </w:r>
            <w:r w:rsidRPr="00DE245A">
              <w:rPr>
                <w:rFonts w:eastAsiaTheme="majorEastAsia" w:cstheme="majorBidi"/>
                <w:b/>
                <w:bCs/>
                <w:color w:val="365F91" w:themeColor="accent1" w:themeShade="BF"/>
                <w:sz w:val="36"/>
                <w:szCs w:val="26"/>
              </w:rPr>
              <w:t xml:space="preserve"> </w:t>
            </w:r>
            <w:r w:rsidRPr="00DE245A">
              <w:rPr>
                <w:rFonts w:eastAsiaTheme="majorEastAsia" w:cstheme="majorBidi"/>
                <w:b/>
                <w:bCs/>
                <w:color w:val="365F91" w:themeColor="accent1" w:themeShade="BF"/>
                <w:sz w:val="36"/>
                <w:szCs w:val="26"/>
                <w:u w:val="single"/>
              </w:rPr>
              <w:t>LIVO</w:t>
            </w:r>
          </w:p>
        </w:tc>
      </w:tr>
      <w:tr w:rsidR="00DE245A" w:rsidTr="000B4DC0">
        <w:trPr>
          <w:trHeight w:val="3402"/>
        </w:trPr>
        <w:tc>
          <w:tcPr>
            <w:tcW w:w="4507" w:type="dxa"/>
            <w:vAlign w:val="center"/>
          </w:tcPr>
          <w:p w:rsidR="00DE245A" w:rsidRDefault="00DE245A" w:rsidP="000B4DC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146935" cy="2159000"/>
                  <wp:effectExtent l="57150" t="19050" r="43815" b="0"/>
                  <wp:docPr id="29" name="Obrázek 22" descr="L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o.JPG"/>
                          <pic:cNvPicPr/>
                        </pic:nvPicPr>
                        <pic:blipFill>
                          <a:blip r:embed="rId11" cstate="print">
                            <a:lum bright="-10000" contrast="10000"/>
                          </a:blip>
                          <a:srcRect l="-27883" r="-24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2159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effectLst>
                            <a:softEdge rad="3175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AA0" w:rsidRDefault="00226AA0" w:rsidP="002C1180"/>
    <w:tbl>
      <w:tblPr>
        <w:tblStyle w:val="Mkatabulky"/>
        <w:tblpPr w:leftFromText="142" w:rightFromText="142" w:topFromText="284" w:vertAnchor="text" w:horzAnchor="margin" w:tblpY="2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4"/>
        <w:gridCol w:w="1985"/>
      </w:tblGrid>
      <w:tr w:rsidR="004F0EB4" w:rsidRPr="00430F4D" w:rsidTr="00DE245A">
        <w:trPr>
          <w:trHeight w:val="419"/>
        </w:trPr>
        <w:tc>
          <w:tcPr>
            <w:tcW w:w="5954" w:type="dxa"/>
            <w:gridSpan w:val="3"/>
            <w:shd w:val="clear" w:color="auto" w:fill="BFBFBF" w:themeFill="background1" w:themeFillShade="BF"/>
            <w:vAlign w:val="center"/>
          </w:tcPr>
          <w:p w:rsidR="004F0EB4" w:rsidRPr="00430F4D" w:rsidRDefault="004F0EB4" w:rsidP="00DE245A">
            <w:pPr>
              <w:pStyle w:val="Nadpis3"/>
              <w:outlineLvl w:val="2"/>
            </w:pPr>
            <w:r w:rsidRPr="00430F4D">
              <w:t>Parametry:</w:t>
            </w:r>
          </w:p>
        </w:tc>
      </w:tr>
      <w:tr w:rsidR="00C83504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504" w:rsidRPr="00430F4D" w:rsidRDefault="00C83504" w:rsidP="00DE245A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83504" w:rsidRPr="00D61FC3" w:rsidRDefault="00D4656D" w:rsidP="00DE245A">
            <w:pPr>
              <w:jc w:val="center"/>
              <w:rPr>
                <w:b/>
              </w:rPr>
            </w:pPr>
            <w:r w:rsidRPr="00D61FC3">
              <w:rPr>
                <w:b/>
              </w:rPr>
              <w:t>GW 12..Z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504" w:rsidRPr="00D61FC3" w:rsidRDefault="00D4656D" w:rsidP="00DE245A">
            <w:pPr>
              <w:jc w:val="center"/>
              <w:rPr>
                <w:b/>
              </w:rPr>
            </w:pPr>
            <w:r w:rsidRPr="00D61FC3">
              <w:rPr>
                <w:b/>
              </w:rPr>
              <w:t>GW 12..X</w:t>
            </w:r>
          </w:p>
        </w:tc>
      </w:tr>
      <w:tr w:rsidR="00C83504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504" w:rsidRPr="00430F4D" w:rsidRDefault="00D4656D" w:rsidP="00DE245A">
            <w:r>
              <w:t>Napájecí napětí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83504" w:rsidRPr="00430F4D" w:rsidRDefault="00D4656D" w:rsidP="00DE245A">
            <w:pPr>
              <w:jc w:val="center"/>
            </w:pPr>
            <w:r>
              <w:t>AC 20 V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504" w:rsidRPr="00430F4D" w:rsidRDefault="00D4656D" w:rsidP="00DE245A">
            <w:pPr>
              <w:jc w:val="center"/>
            </w:pPr>
            <w:r>
              <w:t>DC 6 V (baterie CRP 2)</w:t>
            </w:r>
          </w:p>
        </w:tc>
      </w:tr>
      <w:tr w:rsidR="00C83504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504" w:rsidRPr="00430F4D" w:rsidRDefault="00D4656D" w:rsidP="00DE245A">
            <w:r>
              <w:t>Příkon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83504" w:rsidRPr="00430F4D" w:rsidRDefault="00D4656D" w:rsidP="001755E7">
            <w:pPr>
              <w:jc w:val="center"/>
            </w:pPr>
            <w:r>
              <w:t xml:space="preserve">4,2 </w:t>
            </w:r>
            <w:r w:rsidR="001755E7">
              <w:t>W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3504" w:rsidRPr="00430F4D" w:rsidRDefault="00D4656D" w:rsidP="00907777">
            <w:pPr>
              <w:jc w:val="center"/>
            </w:pPr>
            <w:r>
              <w:t xml:space="preserve">pulsní provoz – životnost baterie min. </w:t>
            </w:r>
            <w:r w:rsidR="00907777">
              <w:t>2</w:t>
            </w:r>
            <w:r>
              <w:t xml:space="preserve"> rok</w:t>
            </w:r>
            <w:r w:rsidR="005A1389">
              <w:t>y</w:t>
            </w:r>
          </w:p>
        </w:tc>
      </w:tr>
      <w:tr w:rsidR="00D61FC3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r>
              <w:t>Čas splachování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pPr>
              <w:jc w:val="center"/>
            </w:pPr>
            <w:r>
              <w:t>2 ÷ 20 sekund</w:t>
            </w:r>
          </w:p>
        </w:tc>
      </w:tr>
      <w:tr w:rsidR="00D61FC3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r>
              <w:t>Vstupní tlak vody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pPr>
              <w:jc w:val="center"/>
            </w:pPr>
            <w:r>
              <w:t>0,1 ÷ 1 MPa</w:t>
            </w:r>
          </w:p>
        </w:tc>
      </w:tr>
      <w:tr w:rsidR="00D61FC3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r>
              <w:t>Připojení vody na vstupu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pPr>
              <w:jc w:val="center"/>
            </w:pPr>
            <w:r>
              <w:t>G 1/2“</w:t>
            </w:r>
          </w:p>
        </w:tc>
      </w:tr>
      <w:tr w:rsidR="00D61FC3" w:rsidRPr="00430F4D" w:rsidTr="00DE245A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61FC3" w:rsidRPr="00430F4D" w:rsidRDefault="00D61FC3" w:rsidP="00DE245A">
            <w:r>
              <w:t>Výstup odpadní vody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747010" w:rsidRDefault="00D61FC3" w:rsidP="00DE245A">
            <w:pPr>
              <w:jc w:val="center"/>
            </w:pPr>
            <w:r>
              <w:t>výtoková armatura s těsněním pro odpad</w:t>
            </w:r>
          </w:p>
          <w:p w:rsidR="00D61FC3" w:rsidRPr="00430F4D" w:rsidRDefault="00D61FC3" w:rsidP="00DE245A">
            <w:pPr>
              <w:jc w:val="center"/>
            </w:pPr>
            <w:r>
              <w:t>Ø50 mm (novodur)</w:t>
            </w:r>
          </w:p>
        </w:tc>
      </w:tr>
    </w:tbl>
    <w:p w:rsidR="00B456A7" w:rsidRDefault="00B456A7" w:rsidP="002C1180"/>
    <w:p w:rsidR="00941A55" w:rsidRDefault="00941A55" w:rsidP="002C1180"/>
    <w:p w:rsidR="00941A55" w:rsidRDefault="00941A55" w:rsidP="002C1180"/>
    <w:p w:rsidR="00920DB9" w:rsidRDefault="00920DB9"/>
    <w:p w:rsidR="00893D44" w:rsidRDefault="00893D44"/>
    <w:p w:rsidR="00893D44" w:rsidRDefault="00893D44"/>
    <w:p w:rsidR="00893D44" w:rsidRDefault="00893D44"/>
    <w:p w:rsidR="00735A5F" w:rsidRDefault="00735A5F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tbl>
      <w:tblPr>
        <w:tblStyle w:val="Mkatabulky"/>
        <w:tblpPr w:leftFromText="142" w:rightFromText="142" w:topFromText="284" w:bottomFromText="284" w:vertAnchor="text" w:horzAnchor="margin" w:tblpY="-2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103"/>
      </w:tblGrid>
      <w:tr w:rsidR="00DE245A" w:rsidRPr="00430F4D" w:rsidTr="00F54DCE">
        <w:trPr>
          <w:trHeight w:val="419"/>
        </w:trPr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DE245A" w:rsidRPr="00430F4D" w:rsidRDefault="00DE245A" w:rsidP="00F54DCE">
            <w:pPr>
              <w:pStyle w:val="Nadpis3"/>
              <w:outlineLvl w:val="2"/>
            </w:pPr>
            <w:r>
              <w:t>Doporučené příslušenství</w:t>
            </w:r>
          </w:p>
        </w:tc>
      </w:tr>
      <w:tr w:rsidR="00DE245A" w:rsidRPr="00430F4D" w:rsidTr="00F54DCE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E245A" w:rsidRPr="00747010" w:rsidRDefault="00DE245A" w:rsidP="00F54DCE">
            <w:pPr>
              <w:rPr>
                <w:b/>
              </w:rPr>
            </w:pPr>
            <w:r w:rsidRPr="00747010">
              <w:rPr>
                <w:b/>
              </w:rPr>
              <w:t>GW 091Z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left w:w="284" w:type="dxa"/>
            </w:tcMar>
            <w:vAlign w:val="center"/>
          </w:tcPr>
          <w:p w:rsidR="00DE245A" w:rsidRPr="00747010" w:rsidRDefault="00DE245A" w:rsidP="00F54DCE">
            <w:r>
              <w:t>zdroj AC 20 V pro připojení až 3 pisoárů současně</w:t>
            </w:r>
          </w:p>
        </w:tc>
      </w:tr>
      <w:tr w:rsidR="00DE245A" w:rsidRPr="00430F4D" w:rsidTr="00F54DCE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E245A" w:rsidRPr="00747010" w:rsidRDefault="00DE245A" w:rsidP="00F54DCE">
            <w:pPr>
              <w:rPr>
                <w:b/>
              </w:rPr>
            </w:pPr>
            <w:r w:rsidRPr="00747010">
              <w:rPr>
                <w:b/>
              </w:rPr>
              <w:t>GW 092Z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left w:w="284" w:type="dxa"/>
            </w:tcMar>
            <w:vAlign w:val="center"/>
          </w:tcPr>
          <w:p w:rsidR="00DE245A" w:rsidRPr="00747010" w:rsidRDefault="00DE245A" w:rsidP="00F54DCE">
            <w:r>
              <w:t>zdroj AC 20 V pro připojení až 5 pisoárů současně</w:t>
            </w:r>
          </w:p>
        </w:tc>
      </w:tr>
      <w:tr w:rsidR="00533EBD" w:rsidRPr="00430F4D" w:rsidTr="00F54DCE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33EBD" w:rsidRPr="00747010" w:rsidRDefault="00533EBD" w:rsidP="00F54DCE">
            <w:pPr>
              <w:rPr>
                <w:b/>
              </w:rPr>
            </w:pPr>
            <w:r w:rsidRPr="00747010">
              <w:rPr>
                <w:b/>
              </w:rPr>
              <w:t>CRP 2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left w:w="284" w:type="dxa"/>
            </w:tcMar>
            <w:vAlign w:val="center"/>
          </w:tcPr>
          <w:p w:rsidR="00533EBD" w:rsidRPr="00747010" w:rsidRDefault="00533EBD" w:rsidP="00F54DCE">
            <w:r>
              <w:t>lithiová baterie 6 V</w:t>
            </w:r>
          </w:p>
        </w:tc>
      </w:tr>
    </w:tbl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6C7E10" w:rsidRPr="006C7E10" w:rsidRDefault="006C7E10" w:rsidP="006C7E10"/>
    <w:p w:rsidR="00735A5F" w:rsidRDefault="00735A5F" w:rsidP="006C7E10"/>
    <w:p w:rsidR="00DE245A" w:rsidRDefault="00DE245A" w:rsidP="006C7E10"/>
    <w:tbl>
      <w:tblPr>
        <w:tblStyle w:val="Mkatabulky"/>
        <w:tblpPr w:leftFromText="142" w:rightFromText="142" w:vertAnchor="text" w:horzAnchor="margin" w:tblpY="17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</w:tblGrid>
      <w:tr w:rsidR="00E14742" w:rsidTr="00486B30">
        <w:trPr>
          <w:trHeight w:val="378"/>
        </w:trPr>
        <w:tc>
          <w:tcPr>
            <w:tcW w:w="6062" w:type="dxa"/>
            <w:gridSpan w:val="2"/>
          </w:tcPr>
          <w:p w:rsidR="00E14742" w:rsidRDefault="00E14742" w:rsidP="00486B30">
            <w:pPr>
              <w:pStyle w:val="Nadpis3"/>
              <w:outlineLvl w:val="2"/>
            </w:pPr>
            <w:r>
              <w:t>Příslušenství</w:t>
            </w:r>
          </w:p>
        </w:tc>
      </w:tr>
      <w:tr w:rsidR="00E14742" w:rsidTr="00486B30">
        <w:trPr>
          <w:trHeight w:val="476"/>
        </w:trPr>
        <w:tc>
          <w:tcPr>
            <w:tcW w:w="3085" w:type="dxa"/>
            <w:vAlign w:val="center"/>
          </w:tcPr>
          <w:p w:rsidR="00E14742" w:rsidRDefault="00E14742" w:rsidP="00486B30">
            <w:pPr>
              <w:jc w:val="center"/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</w:pPr>
            <w:r w:rsidRPr="00DE245A"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 xml:space="preserve">GW </w:t>
            </w:r>
            <w:r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>091Z</w:t>
            </w:r>
          </w:p>
        </w:tc>
        <w:tc>
          <w:tcPr>
            <w:tcW w:w="2977" w:type="dxa"/>
            <w:vAlign w:val="center"/>
          </w:tcPr>
          <w:p w:rsidR="00E14742" w:rsidRPr="00DE245A" w:rsidRDefault="00E14742" w:rsidP="00486B30">
            <w:pPr>
              <w:jc w:val="center"/>
              <w:rPr>
                <w:u w:val="single"/>
              </w:rPr>
            </w:pPr>
            <w:r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>GW 092Z</w:t>
            </w:r>
          </w:p>
        </w:tc>
      </w:tr>
      <w:tr w:rsidR="00E14742" w:rsidTr="00486B30">
        <w:trPr>
          <w:trHeight w:val="1701"/>
        </w:trPr>
        <w:tc>
          <w:tcPr>
            <w:tcW w:w="3085" w:type="dxa"/>
            <w:vAlign w:val="center"/>
          </w:tcPr>
          <w:p w:rsidR="00E14742" w:rsidRDefault="000F2CED" w:rsidP="00486B30">
            <w:pPr>
              <w:jc w:val="center"/>
            </w:pPr>
            <w:r w:rsidRPr="000F2CED">
              <w:rPr>
                <w:noProof/>
                <w:lang w:eastAsia="cs-CZ"/>
              </w:rPr>
              <w:drawing>
                <wp:inline distT="0" distB="0" distL="0" distR="0">
                  <wp:extent cx="1440000" cy="1240415"/>
                  <wp:effectExtent l="57150" t="19050" r="45900" b="0"/>
                  <wp:docPr id="13" name="Obrázek 22" descr="L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o.JPG"/>
                          <pic:cNvPicPr/>
                        </pic:nvPicPr>
                        <pic:blipFill>
                          <a:blip r:embed="rId12" cstate="print"/>
                          <a:srcRect l="16122" t="-7567" r="4009" b="1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4041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effectLst>
                            <a:softEdge rad="3175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E14742" w:rsidRDefault="000F2CED" w:rsidP="00486B30">
            <w:pPr>
              <w:jc w:val="center"/>
            </w:pPr>
            <w:r w:rsidRPr="000F2CED">
              <w:rPr>
                <w:noProof/>
                <w:lang w:eastAsia="cs-CZ"/>
              </w:rPr>
              <w:drawing>
                <wp:inline distT="0" distB="0" distL="0" distR="0">
                  <wp:extent cx="1440000" cy="1270651"/>
                  <wp:effectExtent l="57150" t="19050" r="26850" b="0"/>
                  <wp:docPr id="12" name="Obrázek 22" descr="L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o.JPG"/>
                          <pic:cNvPicPr/>
                        </pic:nvPicPr>
                        <pic:blipFill>
                          <a:blip r:embed="rId13" cstate="print"/>
                          <a:srcRect l="13597" t="-4528" b="3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7065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effectLst>
                            <a:softEdge rad="3175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440" w:rsidTr="00F42370">
        <w:trPr>
          <w:trHeight w:val="476"/>
        </w:trPr>
        <w:tc>
          <w:tcPr>
            <w:tcW w:w="6062" w:type="dxa"/>
            <w:gridSpan w:val="2"/>
            <w:vAlign w:val="center"/>
          </w:tcPr>
          <w:p w:rsidR="00B13440" w:rsidRPr="00DE245A" w:rsidRDefault="00B13440" w:rsidP="00486B30">
            <w:pPr>
              <w:jc w:val="center"/>
              <w:rPr>
                <w:u w:val="single"/>
              </w:rPr>
            </w:pPr>
            <w:r>
              <w:rPr>
                <w:rFonts w:eastAsiaTheme="majorEastAsia" w:cstheme="majorBidi"/>
                <w:b/>
                <w:bCs/>
                <w:color w:val="F79646" w:themeColor="accent6"/>
                <w:sz w:val="36"/>
                <w:szCs w:val="26"/>
                <w:u w:val="single"/>
              </w:rPr>
              <w:t>Baterie CRP 2</w:t>
            </w:r>
          </w:p>
        </w:tc>
      </w:tr>
      <w:tr w:rsidR="00B13440" w:rsidTr="00201AA3">
        <w:trPr>
          <w:trHeight w:val="1701"/>
        </w:trPr>
        <w:tc>
          <w:tcPr>
            <w:tcW w:w="6062" w:type="dxa"/>
            <w:gridSpan w:val="2"/>
            <w:vAlign w:val="center"/>
          </w:tcPr>
          <w:p w:rsidR="00B13440" w:rsidRDefault="00B13440" w:rsidP="00486B30">
            <w:pPr>
              <w:jc w:val="center"/>
            </w:pPr>
            <w:r w:rsidRPr="00BD6990">
              <w:rPr>
                <w:noProof/>
                <w:lang w:eastAsia="cs-CZ"/>
              </w:rPr>
              <w:drawing>
                <wp:inline distT="0" distB="0" distL="0" distR="0">
                  <wp:extent cx="938096" cy="1080000"/>
                  <wp:effectExtent l="38100" t="19050" r="14404" b="0"/>
                  <wp:docPr id="1" name="Obrázek 22" descr="L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o.JPG"/>
                          <pic:cNvPicPr/>
                        </pic:nvPicPr>
                        <pic:blipFill>
                          <a:blip r:embed="rId14" cstate="print"/>
                          <a:srcRect l="-6770" t="-3813" r="-5730" b="-3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096" cy="1080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effectLst>
                            <a:softEdge rad="3175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45A" w:rsidRDefault="00DE245A" w:rsidP="006C7E10"/>
    <w:tbl>
      <w:tblPr>
        <w:tblStyle w:val="Mkatabulky"/>
        <w:tblpPr w:leftFromText="141" w:rightFromText="141" w:vertAnchor="page" w:horzAnchor="margin" w:tblpXSpec="center" w:tblpY="7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5354"/>
      </w:tblGrid>
      <w:tr w:rsidR="00667F0D" w:rsidTr="00486B30">
        <w:trPr>
          <w:trHeight w:val="341"/>
        </w:trPr>
        <w:tc>
          <w:tcPr>
            <w:tcW w:w="10010" w:type="dxa"/>
            <w:gridSpan w:val="2"/>
            <w:shd w:val="clear" w:color="auto" w:fill="BFBFBF" w:themeFill="background1" w:themeFillShade="BF"/>
          </w:tcPr>
          <w:p w:rsidR="00667F0D" w:rsidRDefault="00667F0D" w:rsidP="0025150C">
            <w:pPr>
              <w:pStyle w:val="Nadpis3"/>
              <w:outlineLvl w:val="2"/>
              <w:rPr>
                <w:noProof/>
                <w:lang w:eastAsia="cs-CZ"/>
              </w:rPr>
            </w:pPr>
            <w:r>
              <w:lastRenderedPageBreak/>
              <w:t>Instalace</w:t>
            </w:r>
          </w:p>
        </w:tc>
      </w:tr>
      <w:tr w:rsidR="00667F0D" w:rsidTr="00486B30">
        <w:trPr>
          <w:trHeight w:val="206"/>
        </w:trPr>
        <w:tc>
          <w:tcPr>
            <w:tcW w:w="4656" w:type="dxa"/>
            <w:tcMar>
              <w:left w:w="0" w:type="dxa"/>
              <w:right w:w="851" w:type="dxa"/>
            </w:tcMar>
          </w:tcPr>
          <w:p w:rsidR="00667F0D" w:rsidRDefault="00667F0D" w:rsidP="0025150C">
            <w:pPr>
              <w:jc w:val="right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Schéma instalace</w:t>
            </w:r>
          </w:p>
        </w:tc>
        <w:tc>
          <w:tcPr>
            <w:tcW w:w="5353" w:type="dxa"/>
            <w:tcMar>
              <w:left w:w="1559" w:type="dxa"/>
            </w:tcMar>
          </w:tcPr>
          <w:p w:rsidR="00667F0D" w:rsidRDefault="00667F0D" w:rsidP="0025150C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Montážní otvory pro pisoáry</w:t>
            </w:r>
          </w:p>
        </w:tc>
      </w:tr>
      <w:tr w:rsidR="00667F0D" w:rsidTr="00486B30">
        <w:trPr>
          <w:trHeight w:val="8335"/>
        </w:trPr>
        <w:tc>
          <w:tcPr>
            <w:tcW w:w="10010" w:type="dxa"/>
            <w:gridSpan w:val="2"/>
            <w:vAlign w:val="center"/>
          </w:tcPr>
          <w:p w:rsidR="00667F0D" w:rsidRDefault="00604356" w:rsidP="0025150C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91.1pt;margin-top:254.85pt;width:205.8pt;height:90pt;z-index:25166028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34;mso-fit-shape-to-text:t">
                    <w:txbxContent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přívod vody</w:t>
                        </w:r>
                      </w:p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rohový ventil s filtrem</w:t>
                        </w:r>
                      </w:p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připojovací hadice</w:t>
                        </w:r>
                      </w:p>
                      <w:p w:rsidR="00E5373F" w:rsidRDefault="00667F0D" w:rsidP="00E5373F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elektromagnetický ventil</w:t>
                        </w:r>
                      </w:p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výtok splachovací vody s těsněním</w:t>
                        </w:r>
                      </w:p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řídící elektronika</w:t>
                        </w:r>
                      </w:p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přívod napětí 20 V AC (GW 12..-Z)</w:t>
                        </w:r>
                      </w:p>
                      <w:p w:rsidR="00667F0D" w:rsidRDefault="00667F0D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keramické těleso pisoáru</w:t>
                        </w:r>
                      </w:p>
                      <w:p w:rsidR="003851AC" w:rsidRDefault="003851AC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samonasávací sifon</w:t>
                        </w:r>
                      </w:p>
                      <w:p w:rsidR="003851AC" w:rsidRDefault="003851AC" w:rsidP="00667F0D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</w:pPr>
                        <w:r>
                          <w:t>odpadní potrubí</w:t>
                        </w:r>
                      </w:p>
                    </w:txbxContent>
                  </v:textbox>
                </v:shape>
              </w:pict>
            </w:r>
            <w:r w:rsidR="00667F0D" w:rsidRPr="00667F0D">
              <w:rPr>
                <w:noProof/>
                <w:lang w:eastAsia="cs-CZ"/>
              </w:rPr>
              <w:drawing>
                <wp:inline distT="0" distB="0" distL="0" distR="0">
                  <wp:extent cx="5734050" cy="5049387"/>
                  <wp:effectExtent l="19050" t="0" r="0" b="0"/>
                  <wp:docPr id="33" name="Obrázek 30" descr="GW121-1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W121-123.tif"/>
                          <pic:cNvPicPr/>
                        </pic:nvPicPr>
                        <pic:blipFill>
                          <a:blip r:embed="rId15" cstate="print"/>
                          <a:srcRect l="11017" r="90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504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FED" w:rsidTr="00486B30">
        <w:trPr>
          <w:trHeight w:val="341"/>
        </w:trPr>
        <w:tc>
          <w:tcPr>
            <w:tcW w:w="10010" w:type="dxa"/>
            <w:gridSpan w:val="2"/>
            <w:shd w:val="clear" w:color="auto" w:fill="BFBFBF" w:themeFill="background1" w:themeFillShade="BF"/>
            <w:vAlign w:val="center"/>
          </w:tcPr>
          <w:p w:rsidR="00C46859" w:rsidRPr="00C46859" w:rsidRDefault="00C46859" w:rsidP="0025150C">
            <w:pPr>
              <w:pStyle w:val="Nadpis3"/>
              <w:outlineLvl w:val="2"/>
            </w:pPr>
            <w:r>
              <w:t>Doporučení na montáž:</w:t>
            </w:r>
          </w:p>
        </w:tc>
      </w:tr>
      <w:tr w:rsidR="00C46859" w:rsidTr="00486B30">
        <w:trPr>
          <w:trHeight w:val="1740"/>
        </w:trPr>
        <w:tc>
          <w:tcPr>
            <w:tcW w:w="10010" w:type="dxa"/>
            <w:gridSpan w:val="2"/>
            <w:shd w:val="clear" w:color="auto" w:fill="auto"/>
            <w:vAlign w:val="center"/>
          </w:tcPr>
          <w:p w:rsidR="00C46859" w:rsidRDefault="00C46859" w:rsidP="0025150C">
            <w:pPr>
              <w:pStyle w:val="Odstavecseseznamem"/>
              <w:numPr>
                <w:ilvl w:val="0"/>
                <w:numId w:val="4"/>
              </w:numPr>
            </w:pPr>
            <w:r>
              <w:t>montáž vodoinstalace a elektroinstalace musí odpovídat předepsaným normám a mohou ji provádět pouze odborně způsobilé osoby</w:t>
            </w:r>
          </w:p>
          <w:p w:rsidR="00C46859" w:rsidRDefault="00C46859" w:rsidP="0025150C">
            <w:pPr>
              <w:pStyle w:val="Odstavecseseznamem"/>
              <w:numPr>
                <w:ilvl w:val="0"/>
                <w:numId w:val="4"/>
              </w:numPr>
            </w:pPr>
            <w:r>
              <w:t>před připojením na vodovodní rozvod je doporučeno propláchnout přívod vody od nečistot a usazenin (zabrání se tak případnému poškození elektromagnetického ventilu)</w:t>
            </w:r>
          </w:p>
          <w:p w:rsidR="00C46859" w:rsidRDefault="00C46859" w:rsidP="0025150C">
            <w:pPr>
              <w:pStyle w:val="Odstavecseseznamem"/>
              <w:numPr>
                <w:ilvl w:val="0"/>
                <w:numId w:val="4"/>
              </w:numPr>
            </w:pPr>
            <w:r>
              <w:t>na přívod vody se nainstaluje rohový ventil s filtrem a zapojí se propojovací hadice s elektromagnetickým ventilem (viz obrázek 1)</w:t>
            </w:r>
          </w:p>
          <w:p w:rsidR="00C46859" w:rsidRDefault="00C46859" w:rsidP="0025150C">
            <w:pPr>
              <w:pStyle w:val="Odstavecseseznamem"/>
              <w:numPr>
                <w:ilvl w:val="0"/>
                <w:numId w:val="4"/>
              </w:numPr>
            </w:pPr>
            <w:r>
              <w:t xml:space="preserve">z elektroniky se FASTON konektory nasunou na vývodní nože elektromagnetického ventilu a ke svorkovnici se připojí napájecí napětí </w:t>
            </w:r>
          </w:p>
        </w:tc>
      </w:tr>
      <w:tr w:rsidR="00C46859" w:rsidTr="00486B30">
        <w:trPr>
          <w:trHeight w:val="341"/>
        </w:trPr>
        <w:tc>
          <w:tcPr>
            <w:tcW w:w="10010" w:type="dxa"/>
            <w:gridSpan w:val="2"/>
            <w:shd w:val="clear" w:color="auto" w:fill="BFBFBF" w:themeFill="background1" w:themeFillShade="BF"/>
            <w:vAlign w:val="center"/>
          </w:tcPr>
          <w:p w:rsidR="00C46859" w:rsidRDefault="00C46859" w:rsidP="005C76A8">
            <w:pPr>
              <w:pStyle w:val="Nadpis3"/>
              <w:outlineLvl w:val="2"/>
            </w:pPr>
            <w:r>
              <w:t>Příklad objedná</w:t>
            </w:r>
            <w:r w:rsidR="005C76A8">
              <w:t>ní</w:t>
            </w:r>
            <w:r>
              <w:t>:</w:t>
            </w:r>
          </w:p>
        </w:tc>
      </w:tr>
      <w:tr w:rsidR="00C46859" w:rsidTr="00486B30">
        <w:trPr>
          <w:trHeight w:val="341"/>
        </w:trPr>
        <w:tc>
          <w:tcPr>
            <w:tcW w:w="10010" w:type="dxa"/>
            <w:gridSpan w:val="2"/>
            <w:shd w:val="clear" w:color="auto" w:fill="auto"/>
            <w:vAlign w:val="center"/>
          </w:tcPr>
          <w:p w:rsidR="00C46859" w:rsidRDefault="00C46859" w:rsidP="0025150C">
            <w:pPr>
              <w:spacing w:before="60" w:after="60"/>
            </w:pPr>
            <w:r w:rsidRPr="00E5373F">
              <w:rPr>
                <w:b/>
              </w:rPr>
              <w:t>GW 121Z</w:t>
            </w:r>
            <w:r>
              <w:t xml:space="preserve"> – automatický pisoár GOLEM, napájení AC 20 V, elektromagnetický ventil</w:t>
            </w:r>
            <w:r w:rsidR="00E5373F">
              <w:t xml:space="preserve"> vstup/výstup G“</w:t>
            </w:r>
          </w:p>
        </w:tc>
      </w:tr>
      <w:tr w:rsidR="00E5373F" w:rsidTr="00486B30">
        <w:trPr>
          <w:trHeight w:val="341"/>
        </w:trPr>
        <w:tc>
          <w:tcPr>
            <w:tcW w:w="10010" w:type="dxa"/>
            <w:gridSpan w:val="2"/>
            <w:shd w:val="clear" w:color="auto" w:fill="auto"/>
            <w:vAlign w:val="center"/>
          </w:tcPr>
          <w:p w:rsidR="00E5373F" w:rsidRDefault="00E5373F" w:rsidP="0025150C">
            <w:pPr>
              <w:spacing w:before="60" w:after="60"/>
            </w:pPr>
            <w:r w:rsidRPr="00E5373F">
              <w:rPr>
                <w:b/>
              </w:rPr>
              <w:t>GW 121Z-M</w:t>
            </w:r>
            <w:r>
              <w:t xml:space="preserve"> – automatický pisoár GOLEM, napájení AC 20 V, elektromagnetický ventil vstup/výstup G“ - AKM</w:t>
            </w:r>
          </w:p>
        </w:tc>
      </w:tr>
    </w:tbl>
    <w:p w:rsidR="00DE245A" w:rsidRDefault="00DE245A" w:rsidP="00F3484A">
      <w:pPr>
        <w:spacing w:before="240" w:after="240"/>
        <w:rPr>
          <w:noProof/>
          <w:lang w:eastAsia="cs-CZ"/>
        </w:rPr>
      </w:pPr>
    </w:p>
    <w:p w:rsidR="00667F0D" w:rsidRDefault="00667F0D" w:rsidP="006C7E10"/>
    <w:p w:rsidR="00735A5F" w:rsidRDefault="00735A5F" w:rsidP="006C7E10"/>
    <w:p w:rsidR="00735A5F" w:rsidRDefault="00735A5F" w:rsidP="006C7E10"/>
    <w:p w:rsidR="00941A55" w:rsidRDefault="00941A55" w:rsidP="00941A55">
      <w:pPr>
        <w:rPr>
          <w:sz w:val="24"/>
          <w:szCs w:val="24"/>
        </w:rPr>
      </w:pPr>
    </w:p>
    <w:p w:rsidR="00DE245A" w:rsidRDefault="00DE245A" w:rsidP="00941A55">
      <w:pPr>
        <w:rPr>
          <w:sz w:val="24"/>
          <w:szCs w:val="24"/>
        </w:rPr>
      </w:pPr>
    </w:p>
    <w:p w:rsidR="0077042E" w:rsidRPr="00D42EDB" w:rsidRDefault="0077042E" w:rsidP="0077042E">
      <w:pPr>
        <w:jc w:val="center"/>
      </w:pPr>
    </w:p>
    <w:p w:rsidR="001A6269" w:rsidRDefault="001A6269" w:rsidP="00D42EDB">
      <w:pPr>
        <w:tabs>
          <w:tab w:val="left" w:pos="3907"/>
        </w:tabs>
      </w:pPr>
    </w:p>
    <w:sectPr w:rsidR="001A6269" w:rsidSect="00C46859">
      <w:footerReference w:type="default" r:id="rId16"/>
      <w:pgSz w:w="11906" w:h="16838"/>
      <w:pgMar w:top="426" w:right="424" w:bottom="284" w:left="426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03" w:rsidRDefault="00AF4B03" w:rsidP="00B62937">
      <w:r>
        <w:separator/>
      </w:r>
    </w:p>
  </w:endnote>
  <w:endnote w:type="continuationSeparator" w:id="0">
    <w:p w:rsidR="00AF4B03" w:rsidRDefault="00AF4B03" w:rsidP="00B6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1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48DD4" w:themeFill="text2" w:themeFillTint="99"/>
      <w:tblLook w:val="04A0"/>
    </w:tblPr>
    <w:tblGrid>
      <w:gridCol w:w="11165"/>
    </w:tblGrid>
    <w:tr w:rsidR="00893D44" w:rsidRPr="00F746CF" w:rsidTr="00F746CF">
      <w:trPr>
        <w:jc w:val="center"/>
      </w:trPr>
      <w:tc>
        <w:tcPr>
          <w:tcW w:w="11165" w:type="dxa"/>
          <w:shd w:val="clear" w:color="auto" w:fill="548DD4" w:themeFill="text2" w:themeFillTint="99"/>
          <w:vAlign w:val="center"/>
        </w:tcPr>
        <w:p w:rsidR="00893D44" w:rsidRPr="00F746CF" w:rsidRDefault="00893D44" w:rsidP="00F746CF">
          <w:pPr>
            <w:pStyle w:val="Zpat"/>
            <w:spacing w:before="20" w:after="20"/>
            <w:jc w:val="center"/>
            <w:rPr>
              <w:color w:val="FFFFFF" w:themeColor="background1"/>
              <w:sz w:val="22"/>
            </w:rPr>
          </w:pPr>
          <w:r w:rsidRPr="00F746CF">
            <w:rPr>
              <w:b/>
              <w:bCs/>
              <w:color w:val="FFFFFF" w:themeColor="background1"/>
              <w:sz w:val="22"/>
            </w:rPr>
            <w:t>Guliwer electronics, s.r.o., Dukelských hrdinů 1011, 563 01 Lanškroun, Czech Republic</w:t>
          </w:r>
        </w:p>
      </w:tc>
    </w:tr>
    <w:tr w:rsidR="00893D44" w:rsidRPr="00F746CF" w:rsidTr="00F746CF">
      <w:trPr>
        <w:jc w:val="center"/>
      </w:trPr>
      <w:tc>
        <w:tcPr>
          <w:tcW w:w="11165" w:type="dxa"/>
          <w:shd w:val="clear" w:color="auto" w:fill="548DD4" w:themeFill="text2" w:themeFillTint="99"/>
          <w:vAlign w:val="center"/>
        </w:tcPr>
        <w:p w:rsidR="00893D44" w:rsidRPr="00F746CF" w:rsidRDefault="00893D44" w:rsidP="002709F7">
          <w:pPr>
            <w:pStyle w:val="Zpat"/>
            <w:spacing w:before="20" w:after="20"/>
            <w:jc w:val="center"/>
            <w:rPr>
              <w:color w:val="FFFFFF" w:themeColor="background1"/>
              <w:sz w:val="22"/>
            </w:rPr>
          </w:pPr>
          <w:r w:rsidRPr="00F746CF">
            <w:rPr>
              <w:b/>
              <w:bCs/>
              <w:color w:val="FFFFFF" w:themeColor="background1"/>
              <w:sz w:val="22"/>
            </w:rPr>
            <w:t>Tel: +420 465 461 53</w:t>
          </w:r>
          <w:r>
            <w:rPr>
              <w:b/>
              <w:bCs/>
              <w:color w:val="FFFFFF" w:themeColor="background1"/>
              <w:sz w:val="22"/>
            </w:rPr>
            <w:t>7</w:t>
          </w:r>
          <w:r w:rsidRPr="00F746CF">
            <w:rPr>
              <w:b/>
              <w:bCs/>
              <w:color w:val="FFFFFF" w:themeColor="background1"/>
              <w:sz w:val="22"/>
            </w:rPr>
            <w:t xml:space="preserve"> (odbyt) +420 465 461 536 (technické informace)</w:t>
          </w:r>
        </w:p>
      </w:tc>
    </w:tr>
    <w:tr w:rsidR="00893D44" w:rsidRPr="00F746CF" w:rsidTr="00F746CF">
      <w:trPr>
        <w:jc w:val="center"/>
      </w:trPr>
      <w:tc>
        <w:tcPr>
          <w:tcW w:w="11165" w:type="dxa"/>
          <w:shd w:val="clear" w:color="auto" w:fill="548DD4" w:themeFill="text2" w:themeFillTint="99"/>
          <w:vAlign w:val="center"/>
        </w:tcPr>
        <w:p w:rsidR="00893D44" w:rsidRPr="00F746CF" w:rsidRDefault="00893D44" w:rsidP="00F746CF">
          <w:pPr>
            <w:pStyle w:val="Zpat"/>
            <w:spacing w:before="20" w:after="20"/>
            <w:jc w:val="center"/>
            <w:rPr>
              <w:color w:val="FFFFFF" w:themeColor="background1"/>
              <w:sz w:val="22"/>
            </w:rPr>
          </w:pPr>
          <w:r w:rsidRPr="00F746CF">
            <w:rPr>
              <w:b/>
              <w:bCs/>
              <w:color w:val="FFFFFF" w:themeColor="background1"/>
              <w:sz w:val="22"/>
            </w:rPr>
            <w:t xml:space="preserve">e-mail: </w:t>
          </w:r>
          <w:hyperlink r:id="rId1" w:history="1">
            <w:r w:rsidRPr="00180580">
              <w:rPr>
                <w:b/>
                <w:bCs/>
                <w:color w:val="FFFFFF" w:themeColor="background1"/>
                <w:sz w:val="22"/>
              </w:rPr>
              <w:t>guliwer@guliwer.cz</w:t>
            </w:r>
          </w:hyperlink>
          <w:r w:rsidRPr="00F746CF">
            <w:rPr>
              <w:b/>
              <w:bCs/>
              <w:color w:val="FFFFFF" w:themeColor="background1"/>
              <w:sz w:val="22"/>
            </w:rPr>
            <w:t xml:space="preserve">; </w:t>
          </w:r>
          <w:hyperlink r:id="rId2" w:history="1">
            <w:r w:rsidRPr="00180580">
              <w:rPr>
                <w:b/>
                <w:bCs/>
                <w:color w:val="FFFFFF" w:themeColor="background1"/>
                <w:sz w:val="22"/>
              </w:rPr>
              <w:t>http://www.guliwer.cz</w:t>
            </w:r>
          </w:hyperlink>
        </w:p>
      </w:tc>
    </w:tr>
  </w:tbl>
  <w:p w:rsidR="00893D44" w:rsidRDefault="00893D44" w:rsidP="00F746CF">
    <w:pPr>
      <w:pStyle w:val="Zpat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03" w:rsidRDefault="00AF4B03" w:rsidP="00B62937">
      <w:r>
        <w:separator/>
      </w:r>
    </w:p>
  </w:footnote>
  <w:footnote w:type="continuationSeparator" w:id="0">
    <w:p w:rsidR="00AF4B03" w:rsidRDefault="00AF4B03" w:rsidP="00B62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D81"/>
    <w:multiLevelType w:val="hybridMultilevel"/>
    <w:tmpl w:val="DCB21A2A"/>
    <w:lvl w:ilvl="0" w:tplc="5150BF5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B7DE7"/>
    <w:multiLevelType w:val="hybridMultilevel"/>
    <w:tmpl w:val="440278BA"/>
    <w:lvl w:ilvl="0" w:tplc="879A9E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8689B"/>
    <w:multiLevelType w:val="hybridMultilevel"/>
    <w:tmpl w:val="B528405C"/>
    <w:lvl w:ilvl="0" w:tplc="8D3A5760">
      <w:start w:val="1"/>
      <w:numFmt w:val="bullet"/>
      <w:pStyle w:val="Podtitul"/>
      <w:lvlText w:val=""/>
      <w:lvlJc w:val="center"/>
      <w:pPr>
        <w:ind w:left="720" w:hanging="360"/>
      </w:pPr>
      <w:rPr>
        <w:rFonts w:ascii="Symbol" w:hAnsi="Symbol" w:hint="default"/>
        <w:color w:val="F79646" w:themeColor="accent6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0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6BD4"/>
    <w:rsid w:val="000202A2"/>
    <w:rsid w:val="00040437"/>
    <w:rsid w:val="00040AA5"/>
    <w:rsid w:val="00046A8B"/>
    <w:rsid w:val="0004789F"/>
    <w:rsid w:val="00047AD1"/>
    <w:rsid w:val="00052EFC"/>
    <w:rsid w:val="000652D3"/>
    <w:rsid w:val="0007021B"/>
    <w:rsid w:val="00072503"/>
    <w:rsid w:val="00077AE2"/>
    <w:rsid w:val="000B159A"/>
    <w:rsid w:val="000B4DC0"/>
    <w:rsid w:val="000E1B9A"/>
    <w:rsid w:val="000F2CED"/>
    <w:rsid w:val="00122BFC"/>
    <w:rsid w:val="0013733F"/>
    <w:rsid w:val="00141B5D"/>
    <w:rsid w:val="0014417E"/>
    <w:rsid w:val="001755E7"/>
    <w:rsid w:val="001759D0"/>
    <w:rsid w:val="00180580"/>
    <w:rsid w:val="0018597F"/>
    <w:rsid w:val="00193007"/>
    <w:rsid w:val="001A6269"/>
    <w:rsid w:val="001B53F1"/>
    <w:rsid w:val="001C2598"/>
    <w:rsid w:val="00213618"/>
    <w:rsid w:val="0021577C"/>
    <w:rsid w:val="002208C3"/>
    <w:rsid w:val="00226AA0"/>
    <w:rsid w:val="00230943"/>
    <w:rsid w:val="0025150C"/>
    <w:rsid w:val="00255505"/>
    <w:rsid w:val="002578DC"/>
    <w:rsid w:val="0026252F"/>
    <w:rsid w:val="0026589F"/>
    <w:rsid w:val="002709F7"/>
    <w:rsid w:val="0027189E"/>
    <w:rsid w:val="002814E9"/>
    <w:rsid w:val="00281C3E"/>
    <w:rsid w:val="00284222"/>
    <w:rsid w:val="00292218"/>
    <w:rsid w:val="002B5227"/>
    <w:rsid w:val="002B6AEA"/>
    <w:rsid w:val="002C1180"/>
    <w:rsid w:val="002C3C0D"/>
    <w:rsid w:val="002C7721"/>
    <w:rsid w:val="002D6F21"/>
    <w:rsid w:val="002E052B"/>
    <w:rsid w:val="002E4760"/>
    <w:rsid w:val="002F05FB"/>
    <w:rsid w:val="00302B07"/>
    <w:rsid w:val="003052A3"/>
    <w:rsid w:val="003426D8"/>
    <w:rsid w:val="00352E4D"/>
    <w:rsid w:val="0036246E"/>
    <w:rsid w:val="0037457D"/>
    <w:rsid w:val="00377136"/>
    <w:rsid w:val="00382F18"/>
    <w:rsid w:val="003851AC"/>
    <w:rsid w:val="003C1F67"/>
    <w:rsid w:val="003D327A"/>
    <w:rsid w:val="003D642B"/>
    <w:rsid w:val="003F0BF7"/>
    <w:rsid w:val="00401454"/>
    <w:rsid w:val="00403338"/>
    <w:rsid w:val="004073B7"/>
    <w:rsid w:val="004114D8"/>
    <w:rsid w:val="0041494D"/>
    <w:rsid w:val="00430F4D"/>
    <w:rsid w:val="0043181B"/>
    <w:rsid w:val="00440982"/>
    <w:rsid w:val="00446D3F"/>
    <w:rsid w:val="0047391B"/>
    <w:rsid w:val="00474E22"/>
    <w:rsid w:val="00485117"/>
    <w:rsid w:val="00486B30"/>
    <w:rsid w:val="004A5529"/>
    <w:rsid w:val="004D64CC"/>
    <w:rsid w:val="004E2E37"/>
    <w:rsid w:val="004E6E52"/>
    <w:rsid w:val="004F0EB4"/>
    <w:rsid w:val="00504A0F"/>
    <w:rsid w:val="005052E9"/>
    <w:rsid w:val="00517807"/>
    <w:rsid w:val="00533EBD"/>
    <w:rsid w:val="005676A1"/>
    <w:rsid w:val="00577E11"/>
    <w:rsid w:val="00584CF5"/>
    <w:rsid w:val="005903FD"/>
    <w:rsid w:val="005929C6"/>
    <w:rsid w:val="005A1389"/>
    <w:rsid w:val="005B0547"/>
    <w:rsid w:val="005B5107"/>
    <w:rsid w:val="005B6246"/>
    <w:rsid w:val="005C385E"/>
    <w:rsid w:val="005C4230"/>
    <w:rsid w:val="005C76A8"/>
    <w:rsid w:val="005D2613"/>
    <w:rsid w:val="005D29EF"/>
    <w:rsid w:val="005E5695"/>
    <w:rsid w:val="005E7283"/>
    <w:rsid w:val="00604356"/>
    <w:rsid w:val="0061674C"/>
    <w:rsid w:val="0063187F"/>
    <w:rsid w:val="00653E73"/>
    <w:rsid w:val="00661738"/>
    <w:rsid w:val="00667F0D"/>
    <w:rsid w:val="00681182"/>
    <w:rsid w:val="006847FC"/>
    <w:rsid w:val="00697B3C"/>
    <w:rsid w:val="006C7E10"/>
    <w:rsid w:val="006D4684"/>
    <w:rsid w:val="006D7460"/>
    <w:rsid w:val="00706BD4"/>
    <w:rsid w:val="007129A7"/>
    <w:rsid w:val="0073469A"/>
    <w:rsid w:val="00735A5F"/>
    <w:rsid w:val="00741FA8"/>
    <w:rsid w:val="00743F83"/>
    <w:rsid w:val="00744D1A"/>
    <w:rsid w:val="00747010"/>
    <w:rsid w:val="0075029F"/>
    <w:rsid w:val="007570CE"/>
    <w:rsid w:val="00757438"/>
    <w:rsid w:val="00757B79"/>
    <w:rsid w:val="0076383E"/>
    <w:rsid w:val="0077042E"/>
    <w:rsid w:val="00793C7C"/>
    <w:rsid w:val="007A12F2"/>
    <w:rsid w:val="007A3875"/>
    <w:rsid w:val="007C537A"/>
    <w:rsid w:val="007C5781"/>
    <w:rsid w:val="007D4F4D"/>
    <w:rsid w:val="007E3D79"/>
    <w:rsid w:val="007F3B1B"/>
    <w:rsid w:val="008022C2"/>
    <w:rsid w:val="0081308B"/>
    <w:rsid w:val="00816595"/>
    <w:rsid w:val="0081693A"/>
    <w:rsid w:val="00841E15"/>
    <w:rsid w:val="0085124B"/>
    <w:rsid w:val="00860B49"/>
    <w:rsid w:val="00871645"/>
    <w:rsid w:val="00891879"/>
    <w:rsid w:val="00893D44"/>
    <w:rsid w:val="008B3324"/>
    <w:rsid w:val="008B548B"/>
    <w:rsid w:val="008B6268"/>
    <w:rsid w:val="008C0ADB"/>
    <w:rsid w:val="008C2371"/>
    <w:rsid w:val="008C6BE7"/>
    <w:rsid w:val="008D2707"/>
    <w:rsid w:val="008D6D70"/>
    <w:rsid w:val="008F5C02"/>
    <w:rsid w:val="00907777"/>
    <w:rsid w:val="0091035C"/>
    <w:rsid w:val="00911F76"/>
    <w:rsid w:val="00920DB9"/>
    <w:rsid w:val="009274FE"/>
    <w:rsid w:val="00941A55"/>
    <w:rsid w:val="0099150C"/>
    <w:rsid w:val="009955A9"/>
    <w:rsid w:val="009A34BC"/>
    <w:rsid w:val="009A59AF"/>
    <w:rsid w:val="009B6F02"/>
    <w:rsid w:val="009E4486"/>
    <w:rsid w:val="009F1196"/>
    <w:rsid w:val="00A15C3F"/>
    <w:rsid w:val="00A20BF5"/>
    <w:rsid w:val="00A25D93"/>
    <w:rsid w:val="00A33B91"/>
    <w:rsid w:val="00A456E7"/>
    <w:rsid w:val="00A81137"/>
    <w:rsid w:val="00A8665E"/>
    <w:rsid w:val="00A923D0"/>
    <w:rsid w:val="00AC1B77"/>
    <w:rsid w:val="00AC407A"/>
    <w:rsid w:val="00AF0FD4"/>
    <w:rsid w:val="00AF4B03"/>
    <w:rsid w:val="00AF7717"/>
    <w:rsid w:val="00B044E6"/>
    <w:rsid w:val="00B04DF0"/>
    <w:rsid w:val="00B05D89"/>
    <w:rsid w:val="00B13440"/>
    <w:rsid w:val="00B16CFA"/>
    <w:rsid w:val="00B456A7"/>
    <w:rsid w:val="00B52235"/>
    <w:rsid w:val="00B525BD"/>
    <w:rsid w:val="00B62937"/>
    <w:rsid w:val="00B64D5C"/>
    <w:rsid w:val="00B7387B"/>
    <w:rsid w:val="00B76049"/>
    <w:rsid w:val="00B8066B"/>
    <w:rsid w:val="00BB1397"/>
    <w:rsid w:val="00BB251F"/>
    <w:rsid w:val="00BC3218"/>
    <w:rsid w:val="00BC3CDF"/>
    <w:rsid w:val="00BD6990"/>
    <w:rsid w:val="00C05F07"/>
    <w:rsid w:val="00C12B22"/>
    <w:rsid w:val="00C15F30"/>
    <w:rsid w:val="00C3692C"/>
    <w:rsid w:val="00C3794E"/>
    <w:rsid w:val="00C46859"/>
    <w:rsid w:val="00C55A62"/>
    <w:rsid w:val="00C611DB"/>
    <w:rsid w:val="00C709C3"/>
    <w:rsid w:val="00C75767"/>
    <w:rsid w:val="00C83504"/>
    <w:rsid w:val="00C845D1"/>
    <w:rsid w:val="00C902AD"/>
    <w:rsid w:val="00C9157F"/>
    <w:rsid w:val="00CD0CA9"/>
    <w:rsid w:val="00CD6F16"/>
    <w:rsid w:val="00D05AFF"/>
    <w:rsid w:val="00D13696"/>
    <w:rsid w:val="00D2715B"/>
    <w:rsid w:val="00D31869"/>
    <w:rsid w:val="00D32C90"/>
    <w:rsid w:val="00D357DC"/>
    <w:rsid w:val="00D42EDB"/>
    <w:rsid w:val="00D4656D"/>
    <w:rsid w:val="00D56F7A"/>
    <w:rsid w:val="00D57DB8"/>
    <w:rsid w:val="00D61CBC"/>
    <w:rsid w:val="00D61FC3"/>
    <w:rsid w:val="00D84EEB"/>
    <w:rsid w:val="00DA22A0"/>
    <w:rsid w:val="00DD711F"/>
    <w:rsid w:val="00DE245A"/>
    <w:rsid w:val="00DE50EE"/>
    <w:rsid w:val="00DE7D45"/>
    <w:rsid w:val="00DF489C"/>
    <w:rsid w:val="00DF4BAB"/>
    <w:rsid w:val="00DF7DEA"/>
    <w:rsid w:val="00E00D88"/>
    <w:rsid w:val="00E14742"/>
    <w:rsid w:val="00E1690F"/>
    <w:rsid w:val="00E24076"/>
    <w:rsid w:val="00E44C00"/>
    <w:rsid w:val="00E45588"/>
    <w:rsid w:val="00E52021"/>
    <w:rsid w:val="00E5373F"/>
    <w:rsid w:val="00E548EE"/>
    <w:rsid w:val="00E55486"/>
    <w:rsid w:val="00E64028"/>
    <w:rsid w:val="00E87FCA"/>
    <w:rsid w:val="00EB40A8"/>
    <w:rsid w:val="00EB4348"/>
    <w:rsid w:val="00EC0804"/>
    <w:rsid w:val="00EC3A8D"/>
    <w:rsid w:val="00EC6AA0"/>
    <w:rsid w:val="00ED095B"/>
    <w:rsid w:val="00EE1C74"/>
    <w:rsid w:val="00EE4212"/>
    <w:rsid w:val="00EE6297"/>
    <w:rsid w:val="00EF4543"/>
    <w:rsid w:val="00F10ED4"/>
    <w:rsid w:val="00F175CB"/>
    <w:rsid w:val="00F176E0"/>
    <w:rsid w:val="00F25F0F"/>
    <w:rsid w:val="00F3484A"/>
    <w:rsid w:val="00F54DCE"/>
    <w:rsid w:val="00F71042"/>
    <w:rsid w:val="00F746CF"/>
    <w:rsid w:val="00F772AC"/>
    <w:rsid w:val="00F90B81"/>
    <w:rsid w:val="00F90D51"/>
    <w:rsid w:val="00F96369"/>
    <w:rsid w:val="00FA7F4E"/>
    <w:rsid w:val="00FE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028"/>
    <w:pPr>
      <w:spacing w:after="0" w:line="240" w:lineRule="auto"/>
    </w:pPr>
    <w:rPr>
      <w:rFonts w:ascii="Arial" w:hAnsi="Arial" w:cs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073B7"/>
    <w:pPr>
      <w:keepNext/>
      <w:keepLines/>
      <w:spacing w:before="480"/>
      <w:jc w:val="right"/>
      <w:outlineLvl w:val="0"/>
    </w:pPr>
    <w:rPr>
      <w:rFonts w:eastAsiaTheme="majorEastAsia" w:cstheme="majorBidi"/>
      <w:bCs/>
      <w:color w:val="F79646" w:themeColor="accent6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73B7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color w:val="F79646" w:themeColor="accent6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1180"/>
    <w:pPr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B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6C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73B7"/>
    <w:rPr>
      <w:rFonts w:ascii="Arial" w:eastAsiaTheme="majorEastAsia" w:hAnsi="Arial" w:cstheme="majorBidi"/>
      <w:bCs/>
      <w:color w:val="F79646" w:themeColor="accent6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073B7"/>
    <w:rPr>
      <w:rFonts w:ascii="Arial" w:eastAsiaTheme="majorEastAsia" w:hAnsi="Arial" w:cstheme="majorBidi"/>
      <w:b/>
      <w:bCs/>
      <w:color w:val="F79646" w:themeColor="accent6"/>
      <w:sz w:val="36"/>
      <w:szCs w:val="26"/>
    </w:rPr>
  </w:style>
  <w:style w:type="paragraph" w:styleId="Podtitul">
    <w:name w:val="Subtitle"/>
    <w:basedOn w:val="Odstavecseseznamem"/>
    <w:next w:val="Normln"/>
    <w:link w:val="PodtitulChar"/>
    <w:uiPriority w:val="11"/>
    <w:qFormat/>
    <w:rsid w:val="00E64028"/>
    <w:pPr>
      <w:numPr>
        <w:numId w:val="1"/>
      </w:numPr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4028"/>
    <w:rPr>
      <w:rFonts w:ascii="Arial" w:hAnsi="Arial" w:cs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C1180"/>
    <w:rPr>
      <w:rFonts w:ascii="Arial" w:hAnsi="Arial" w:cs="Arial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9A59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9AF"/>
    <w:rPr>
      <w:color w:val="800080"/>
      <w:u w:val="single"/>
    </w:rPr>
  </w:style>
  <w:style w:type="paragraph" w:customStyle="1" w:styleId="font0">
    <w:name w:val="font0"/>
    <w:basedOn w:val="Normln"/>
    <w:rsid w:val="009A59A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lang w:eastAsia="cs-CZ"/>
    </w:rPr>
  </w:style>
  <w:style w:type="paragraph" w:customStyle="1" w:styleId="font5">
    <w:name w:val="font5"/>
    <w:basedOn w:val="Normln"/>
    <w:rsid w:val="009A59A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lang w:eastAsia="cs-CZ"/>
    </w:rPr>
  </w:style>
  <w:style w:type="paragraph" w:customStyle="1" w:styleId="xl63">
    <w:name w:val="xl63"/>
    <w:basedOn w:val="Normln"/>
    <w:rsid w:val="009A59A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9A5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A5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A59A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A59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A5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A59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A59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62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2937"/>
    <w:rPr>
      <w:rFonts w:ascii="Arial" w:hAnsi="Arial" w:cs="Arial"/>
      <w:sz w:val="18"/>
    </w:rPr>
  </w:style>
  <w:style w:type="paragraph" w:styleId="Zpat">
    <w:name w:val="footer"/>
    <w:basedOn w:val="Normln"/>
    <w:link w:val="ZpatChar"/>
    <w:uiPriority w:val="99"/>
    <w:unhideWhenUsed/>
    <w:rsid w:val="00B62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937"/>
    <w:rPr>
      <w:rFonts w:ascii="Arial" w:hAnsi="Arial" w:cs="Arial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D42EDB"/>
    <w:pPr>
      <w:spacing w:after="200"/>
    </w:pPr>
    <w:rPr>
      <w:b/>
      <w:bCs/>
      <w:color w:val="4F81BD" w:themeColor="accent1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liwer.cz/" TargetMode="External"/><Relationship Id="rId1" Type="http://schemas.openxmlformats.org/officeDocument/2006/relationships/hyperlink" Target="mailto:guliwer@guliw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8070C-B31F-40D4-8103-6CC7DBAF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Konstrukce</dc:creator>
  <cp:lastModifiedBy>Helena Kubíčková</cp:lastModifiedBy>
  <cp:revision>2</cp:revision>
  <cp:lastPrinted>2016-09-16T10:57:00Z</cp:lastPrinted>
  <dcterms:created xsi:type="dcterms:W3CDTF">2017-06-09T11:05:00Z</dcterms:created>
  <dcterms:modified xsi:type="dcterms:W3CDTF">2017-06-09T11:05:00Z</dcterms:modified>
</cp:coreProperties>
</file>